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E1" w:rsidRDefault="00FB46E1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FB46E1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37E6" w:rsidRDefault="007037B1" w:rsidP="00FB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46E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6E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  <w:r w:rsidR="00FB46E1" w:rsidRPr="00FB46E1">
        <w:rPr>
          <w:rFonts w:ascii="Times New Roman" w:eastAsia="Times New Roman" w:hAnsi="Times New Roman" w:cs="Times New Roman"/>
          <w:b/>
          <w:sz w:val="28"/>
          <w:szCs w:val="28"/>
        </w:rPr>
        <w:t>работы комиссии по обеспечению безопасности дорожного движения</w:t>
      </w:r>
      <w:r w:rsidR="00FB46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6E1" w:rsidRPr="00FB46E1">
        <w:rPr>
          <w:rFonts w:ascii="Times New Roman" w:eastAsia="Times New Roman" w:hAnsi="Times New Roman" w:cs="Times New Roman"/>
          <w:b/>
          <w:sz w:val="28"/>
          <w:szCs w:val="28"/>
        </w:rPr>
        <w:t xml:space="preserve">Гудермесского муниципального района по исполнению п.1 протокола поручений Главы Чеченской Республики Р.А. Кадырова данных на заседании оперативного щтаба по обеспечению безопасности дорожного движения на территории Чеченской Республики </w:t>
      </w:r>
    </w:p>
    <w:p w:rsidR="00C374DE" w:rsidRDefault="00FB46E1" w:rsidP="00FB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E1">
        <w:rPr>
          <w:rFonts w:ascii="Times New Roman" w:eastAsia="Times New Roman" w:hAnsi="Times New Roman" w:cs="Times New Roman"/>
          <w:b/>
          <w:sz w:val="28"/>
          <w:szCs w:val="28"/>
        </w:rPr>
        <w:t>(№01-87 от 26 сентября 2014 года)</w:t>
      </w:r>
    </w:p>
    <w:p w:rsidR="00EC16A4" w:rsidRPr="00EC16A4" w:rsidRDefault="00C374DE" w:rsidP="00FB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07C8">
        <w:rPr>
          <w:rFonts w:ascii="Times New Roman" w:hAnsi="Times New Roman" w:cs="Times New Roman"/>
          <w:b/>
          <w:sz w:val="28"/>
          <w:szCs w:val="28"/>
        </w:rPr>
        <w:t>4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46E1" w:rsidRDefault="00FB46E1" w:rsidP="007037B1">
      <w:pPr>
        <w:pStyle w:val="a3"/>
        <w:ind w:firstLine="708"/>
        <w:contextualSpacing/>
        <w:jc w:val="both"/>
        <w:rPr>
          <w:szCs w:val="28"/>
        </w:rPr>
      </w:pPr>
    </w:p>
    <w:p w:rsidR="00FF07C8" w:rsidRDefault="00FF07C8" w:rsidP="007037B1">
      <w:pPr>
        <w:pStyle w:val="a3"/>
        <w:ind w:firstLine="708"/>
        <w:contextualSpacing/>
        <w:jc w:val="both"/>
        <w:rPr>
          <w:szCs w:val="28"/>
        </w:rPr>
      </w:pPr>
    </w:p>
    <w:p w:rsidR="00A10EC5" w:rsidRPr="00A10EC5" w:rsidRDefault="005429FA" w:rsidP="00A10EC5">
      <w:pPr>
        <w:pStyle w:val="a3"/>
        <w:ind w:firstLine="708"/>
        <w:jc w:val="both"/>
        <w:rPr>
          <w:szCs w:val="28"/>
          <w:lang w:eastAsia="en-US"/>
        </w:rPr>
      </w:pPr>
      <w:r w:rsidRPr="00FF07C8">
        <w:rPr>
          <w:sz w:val="32"/>
          <w:szCs w:val="28"/>
        </w:rPr>
        <w:t xml:space="preserve"> </w:t>
      </w:r>
      <w:proofErr w:type="gramStart"/>
      <w:r w:rsidR="00A10EC5" w:rsidRPr="00A10EC5">
        <w:rPr>
          <w:szCs w:val="28"/>
        </w:rPr>
        <w:t xml:space="preserve">Во исполнение протокола совещания Главы Чеченской Республики Р.А. Кадырова данных на заседании оперативного штаба по обеспечению безопасности дорожного движения на территории Чеченской Республики (№ 01-87 от 26 сентября 2014 года) в 4 квартале 2018 года </w:t>
      </w:r>
      <w:r w:rsidR="00A10EC5" w:rsidRPr="00A10EC5">
        <w:rPr>
          <w:szCs w:val="28"/>
          <w:lang w:eastAsia="en-US"/>
        </w:rPr>
        <w:t>районным оперативным штабом по обеспечению безопасности дорожного движения Гудермесского муниципального района проведена информационно-разьяснительная работа среди населения Гудермесского муниципального района о необходимости соблюдения правил поведения на</w:t>
      </w:r>
      <w:proofErr w:type="gramEnd"/>
      <w:r w:rsidR="00A10EC5" w:rsidRPr="00A10EC5">
        <w:rPr>
          <w:szCs w:val="28"/>
          <w:lang w:eastAsia="en-US"/>
        </w:rPr>
        <w:t xml:space="preserve"> дороге водителями, пассажирами, пешеходами и другими участниками дорожного движения, в том числе и работа по снижению аварийности, предупреждению детского дорожно-транспортного травматизма, информированию граждан о новых правилах и требованиях Правительства Российской Федерации в области обеспечения безопасности дорожного движения.           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Так, в 4 квартале 2018 года проведено 1 заседание Комиссии по ОБДД, рассмотрено 2 вопроса и вынесено 10 решений: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29.11.2018 года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</w:t>
      </w: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</w:t>
      </w: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  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Администрацией района в тесном взаимодействии ОГИБДД ОМВД России по Гудермесскому району, МУ «Управление образования Гудермесского           муниципального района», МУ «Управлением культуры Гудермесского          муниципального района» во всех общеобразовательных и культурных        учреждениях района проводятся обучение учащихся правилам безопасности дорожного движения.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Кроме того, в г</w:t>
      </w:r>
      <w:proofErr w:type="gramStart"/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и в сельских поселениях Гудермесского муниципального района проведены широкомасштабные профилактические акции, направленные на предупреждение  опасного поведения среди различных категорий участников дорожного движения таких как «Графити акция», «Засветись, стань заметней на дороге». 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Также доведено до подведомственных учреждений, до населения и размешены на сайте информация по профилактике ДТП: ВОДИТЕЛЯМ НЕ ОТДАДУТ ПРАВА, ПОКА ОНИ НЕ ОПЛАТЯТ ВСЕ ШТРАФЫ, Внимание конкурс! Посвященный Всемирному ДНЮ памяти жертв ДТП, О вступлении в силу изменений, касающихся использования зимних шин, Обращение к жителям Гудермесского района, Обращение к водителю стих, О вступлении в силу </w:t>
      </w: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изменений, в правила дорожного движения РФ, Обращение к жителям Гудермесского района на зиминй период, Обращение к водителям и пешеходам.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 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молодежи района, на территории района в отчетном периоде произошло снижение ДТП по сравнению с аналогичным периодом прошлого</w:t>
      </w:r>
      <w:proofErr w:type="gramEnd"/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01.10.2018 года по 31.12.2018 год зарегистрировано 11 ДТП с пострадавшими, погибло 3 человека, ранено 11.</w:t>
      </w:r>
    </w:p>
    <w:p w:rsidR="00A10EC5" w:rsidRPr="00A10EC5" w:rsidRDefault="00A10EC5" w:rsidP="00A10EC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пропаганды безопасности дорожного движения проведено бесед – 99, из них в СШ - 75, в дошкольных учреждениях - 17, в предприятиях – 7, подготовлено материалов для газеты Гумс-16, также на страничке интернет сети «Инстаграмм» и «Малийстори» опубликовано 122 публикаций.</w:t>
      </w:r>
    </w:p>
    <w:p w:rsidR="00A10EC5" w:rsidRPr="00A10EC5" w:rsidRDefault="00A10EC5" w:rsidP="00A1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10EC5">
        <w:rPr>
          <w:rFonts w:ascii="Times New Roman" w:eastAsia="Times New Roman" w:hAnsi="Times New Roman" w:cs="Times New Roman"/>
          <w:spacing w:val="-1"/>
          <w:sz w:val="28"/>
          <w:szCs w:val="28"/>
        </w:rPr>
        <w:t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дополнительно проводена работа по замене знаков дорожного движения, по новым национальным стандартам предусмотрев в первоочередном порядке их оснащения вблизи школ и других учебных заведений.</w:t>
      </w:r>
    </w:p>
    <w:p w:rsidR="00A10EC5" w:rsidRPr="00A10EC5" w:rsidRDefault="00A10EC5" w:rsidP="00A1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 </w:t>
      </w:r>
    </w:p>
    <w:p w:rsidR="00A10EC5" w:rsidRPr="00A10EC5" w:rsidRDefault="00A10EC5" w:rsidP="00A1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района.</w:t>
      </w:r>
    </w:p>
    <w:p w:rsidR="00A10EC5" w:rsidRPr="00A10EC5" w:rsidRDefault="00A10EC5" w:rsidP="00A10EC5">
      <w:pPr>
        <w:tabs>
          <w:tab w:val="left" w:pos="3315"/>
          <w:tab w:val="left" w:pos="4125"/>
        </w:tabs>
        <w:rPr>
          <w:rFonts w:ascii="Times New Roman" w:eastAsia="Calibri" w:hAnsi="Times New Roman" w:cs="Times New Roman"/>
          <w:sz w:val="16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10EC5" w:rsidRPr="00A10EC5" w:rsidRDefault="00A10EC5" w:rsidP="00A10EC5">
      <w:pPr>
        <w:tabs>
          <w:tab w:val="left" w:pos="3315"/>
          <w:tab w:val="left" w:pos="4125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Опубликовано в СМИ по ОБДД</w:t>
      </w:r>
    </w:p>
    <w:tbl>
      <w:tblPr>
        <w:tblStyle w:val="12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2"/>
        <w:gridCol w:w="993"/>
        <w:gridCol w:w="992"/>
        <w:gridCol w:w="1276"/>
        <w:gridCol w:w="989"/>
        <w:gridCol w:w="1558"/>
        <w:gridCol w:w="1133"/>
      </w:tblGrid>
      <w:tr w:rsidR="00A10EC5" w:rsidRPr="00A10EC5" w:rsidTr="00A10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Сайт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Сайт администрации с/</w:t>
            </w: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Сайт ОГИБДД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Сайт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Сайт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 xml:space="preserve">Сайт </w:t>
            </w: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дошкольного</w:t>
            </w:r>
            <w:proofErr w:type="gramEnd"/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Газета «Гумс»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С-А</w:t>
            </w:r>
            <w:proofErr w:type="gramEnd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. Джунаидова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A10EC5" w:rsidRPr="00A10EC5" w:rsidTr="00A10EC5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tabs>
                <w:tab w:val="left" w:pos="441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A10EC5" w:rsidRPr="00A10EC5" w:rsidTr="00A10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</w:tr>
      <w:tr w:rsidR="00A10EC5" w:rsidRPr="00A10EC5" w:rsidTr="00A10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 xml:space="preserve">Итого: 122 публикаций </w:t>
            </w:r>
          </w:p>
        </w:tc>
      </w:tr>
    </w:tbl>
    <w:p w:rsidR="00A10EC5" w:rsidRDefault="00A10EC5" w:rsidP="00A10EC5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EC5" w:rsidRDefault="00A10EC5" w:rsidP="00A10EC5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EC5" w:rsidRPr="00A10EC5" w:rsidRDefault="00A10EC5" w:rsidP="00A10EC5">
      <w:pPr>
        <w:tabs>
          <w:tab w:val="left" w:pos="387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EC5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 мероприятий по ОБДД</w:t>
      </w:r>
    </w:p>
    <w:tbl>
      <w:tblPr>
        <w:tblStyle w:val="12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3"/>
        <w:gridCol w:w="992"/>
        <w:gridCol w:w="1133"/>
        <w:gridCol w:w="851"/>
        <w:gridCol w:w="850"/>
        <w:gridCol w:w="1558"/>
        <w:gridCol w:w="1275"/>
        <w:gridCol w:w="1133"/>
      </w:tblGrid>
      <w:tr w:rsidR="00A10EC5" w:rsidRPr="00A10EC5" w:rsidTr="00A10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Администрация с/</w:t>
            </w: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ОГИБДД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ind w:left="-107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ind w:left="-106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Дошкольное</w:t>
            </w: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ГБПОУ «Гудермесский                                                                                    педагогический колледж»                         имени</w:t>
            </w: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С.</w:t>
            </w:r>
            <w:proofErr w:type="gramStart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С-А</w:t>
            </w:r>
            <w:proofErr w:type="gramEnd"/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. Джунаидова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ind w:left="-105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Общий охват населения</w:t>
            </w:r>
          </w:p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(итого)</w:t>
            </w:r>
          </w:p>
        </w:tc>
      </w:tr>
      <w:tr w:rsidR="00A10EC5" w:rsidRPr="00A10EC5" w:rsidTr="00A10EC5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tabs>
                <w:tab w:val="left" w:pos="4410"/>
              </w:tabs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</w:tr>
      <w:tr w:rsidR="00A10EC5" w:rsidRPr="00A10EC5" w:rsidTr="00A10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>86741</w:t>
            </w:r>
          </w:p>
        </w:tc>
      </w:tr>
      <w:tr w:rsidR="00A10EC5" w:rsidRPr="00A10EC5" w:rsidTr="00A10E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5" w:rsidRPr="00A10EC5" w:rsidRDefault="00A10EC5" w:rsidP="00A10EC5">
            <w:pPr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C5" w:rsidRPr="00A10EC5" w:rsidRDefault="00A10EC5" w:rsidP="00A10EC5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10EC5">
              <w:rPr>
                <w:rFonts w:ascii="Times New Roman" w:eastAsia="Times New Roman" w:hAnsi="Times New Roman"/>
                <w:sz w:val="24"/>
                <w:szCs w:val="28"/>
              </w:rPr>
              <w:t xml:space="preserve">Итого: 861 мероприятия,  охват населения 86741 чел. </w:t>
            </w:r>
          </w:p>
        </w:tc>
      </w:tr>
    </w:tbl>
    <w:p w:rsidR="00A10EC5" w:rsidRPr="00A10EC5" w:rsidRDefault="00A10EC5" w:rsidP="00A1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EC5" w:rsidRPr="00A10EC5" w:rsidRDefault="00A10EC5" w:rsidP="00A1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C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протокола совещания Главы Чеченской Республики Р.А. Кадырова от 27 сентября 2016 года №01-87 находится на постоянном контроле главы администрации района.          </w:t>
      </w:r>
    </w:p>
    <w:p w:rsidR="00A10EC5" w:rsidRPr="00A10EC5" w:rsidRDefault="00A10EC5" w:rsidP="00A10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EC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10EC5" w:rsidRP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EC5" w:rsidRP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C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A10EC5" w:rsidRP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C5">
        <w:rPr>
          <w:rFonts w:ascii="Times New Roman" w:eastAsia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 w:rsidRPr="00A10EC5">
        <w:rPr>
          <w:rFonts w:ascii="Times New Roman" w:eastAsia="Times New Roman" w:hAnsi="Times New Roman" w:cs="Times New Roman"/>
          <w:sz w:val="28"/>
          <w:szCs w:val="28"/>
        </w:rPr>
        <w:t>правоохранительными</w:t>
      </w:r>
      <w:proofErr w:type="gramEnd"/>
      <w:r w:rsidRPr="00A10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EC5" w:rsidRPr="00A10EC5" w:rsidRDefault="00A10EC5" w:rsidP="00A1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EC5">
        <w:rPr>
          <w:rFonts w:ascii="Times New Roman" w:eastAsia="Times New Roman" w:hAnsi="Times New Roman" w:cs="Times New Roman"/>
          <w:sz w:val="28"/>
          <w:szCs w:val="28"/>
        </w:rPr>
        <w:t xml:space="preserve">органами и духовными структурами </w:t>
      </w:r>
      <w:r w:rsidRPr="00A10EC5">
        <w:rPr>
          <w:rFonts w:ascii="Times New Roman" w:eastAsia="Times New Roman" w:hAnsi="Times New Roman" w:cs="Times New Roman"/>
          <w:sz w:val="28"/>
          <w:szCs w:val="28"/>
        </w:rPr>
        <w:tab/>
      </w:r>
      <w:r w:rsidRPr="00A10EC5">
        <w:rPr>
          <w:rFonts w:ascii="Times New Roman" w:eastAsia="Times New Roman" w:hAnsi="Times New Roman" w:cs="Times New Roman"/>
          <w:sz w:val="28"/>
          <w:szCs w:val="28"/>
        </w:rPr>
        <w:tab/>
      </w:r>
      <w:r w:rsidRPr="00A10EC5">
        <w:rPr>
          <w:rFonts w:ascii="Times New Roman" w:eastAsia="Times New Roman" w:hAnsi="Times New Roman" w:cs="Times New Roman"/>
          <w:sz w:val="28"/>
          <w:szCs w:val="28"/>
        </w:rPr>
        <w:tab/>
      </w:r>
      <w:r w:rsidRPr="00A10E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0EC5">
        <w:rPr>
          <w:rFonts w:ascii="Times New Roman" w:eastAsia="Times New Roman" w:hAnsi="Times New Roman" w:cs="Times New Roman"/>
          <w:sz w:val="28"/>
          <w:szCs w:val="28"/>
        </w:rPr>
        <w:t>Д.Д. Муталипов</w:t>
      </w:r>
    </w:p>
    <w:p w:rsidR="00776801" w:rsidRPr="00614511" w:rsidRDefault="00776801" w:rsidP="00A10EC5">
      <w:pPr>
        <w:pStyle w:val="a3"/>
        <w:ind w:firstLine="708"/>
        <w:jc w:val="both"/>
        <w:rPr>
          <w:szCs w:val="28"/>
        </w:rPr>
      </w:pPr>
    </w:p>
    <w:sectPr w:rsidR="00776801" w:rsidRPr="00614511" w:rsidSect="00A10EC5">
      <w:pgSz w:w="11906" w:h="16838" w:code="9"/>
      <w:pgMar w:top="567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F4" w:rsidRDefault="007053F4" w:rsidP="00EC16A4">
      <w:pPr>
        <w:spacing w:after="0" w:line="240" w:lineRule="auto"/>
      </w:pPr>
      <w:r>
        <w:separator/>
      </w:r>
    </w:p>
  </w:endnote>
  <w:endnote w:type="continuationSeparator" w:id="0">
    <w:p w:rsidR="007053F4" w:rsidRDefault="007053F4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F4" w:rsidRDefault="007053F4" w:rsidP="00EC16A4">
      <w:pPr>
        <w:spacing w:after="0" w:line="240" w:lineRule="auto"/>
      </w:pPr>
      <w:r>
        <w:separator/>
      </w:r>
    </w:p>
  </w:footnote>
  <w:footnote w:type="continuationSeparator" w:id="0">
    <w:p w:rsidR="007053F4" w:rsidRDefault="007053F4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C7C"/>
    <w:multiLevelType w:val="hybridMultilevel"/>
    <w:tmpl w:val="51D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5B1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A70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3EEB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1FF4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559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DBC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3FFC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7E1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2496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3675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3299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93F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145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738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6DD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ECD"/>
    <w:rsid w:val="004D2F42"/>
    <w:rsid w:val="004D351E"/>
    <w:rsid w:val="004D3CE3"/>
    <w:rsid w:val="004D3DE7"/>
    <w:rsid w:val="004D3FD9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6A9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6E2"/>
    <w:rsid w:val="00593B86"/>
    <w:rsid w:val="00594776"/>
    <w:rsid w:val="00594D5D"/>
    <w:rsid w:val="005950B0"/>
    <w:rsid w:val="00595DBA"/>
    <w:rsid w:val="00595DC8"/>
    <w:rsid w:val="00595FF2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99D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309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7E5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79E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3F4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7E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0BE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525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1F36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0F9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A15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43C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0EC5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1F6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1D63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3ED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4DCD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3CB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381"/>
    <w:rsid w:val="00CA369B"/>
    <w:rsid w:val="00CA3F9A"/>
    <w:rsid w:val="00CA448C"/>
    <w:rsid w:val="00CA4824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ABF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840"/>
    <w:rsid w:val="00D62960"/>
    <w:rsid w:val="00D62E4E"/>
    <w:rsid w:val="00D62E72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C8B"/>
    <w:rsid w:val="00DF5241"/>
    <w:rsid w:val="00DF5471"/>
    <w:rsid w:val="00DF61AC"/>
    <w:rsid w:val="00DF65F2"/>
    <w:rsid w:val="00DF679A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366A"/>
    <w:rsid w:val="00E24065"/>
    <w:rsid w:val="00E24310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70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5A0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7E1"/>
    <w:rsid w:val="00F54EAC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2A9E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6E1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07C8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8725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A71D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8D64-A7B8-4638-957A-6220E2C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3</cp:revision>
  <cp:lastPrinted>2018-01-11T07:43:00Z</cp:lastPrinted>
  <dcterms:created xsi:type="dcterms:W3CDTF">2018-12-24T12:53:00Z</dcterms:created>
  <dcterms:modified xsi:type="dcterms:W3CDTF">2019-01-10T13:00:00Z</dcterms:modified>
</cp:coreProperties>
</file>